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E" w:rsidRDefault="000166D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交通部臺灣區國道高速公路局　公告</w:t>
      </w:r>
    </w:p>
    <w:p w:rsidR="000166DE" w:rsidRDefault="000166D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0166DE" w:rsidRDefault="000166DE" w:rsidP="007C2D7E">
      <w:pPr>
        <w:autoSpaceDE w:val="0"/>
        <w:autoSpaceDN w:val="0"/>
        <w:adjustRightInd w:val="0"/>
        <w:spacing w:line="350" w:lineRule="exact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103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21</w:t>
      </w:r>
      <w:bookmarkStart w:id="0" w:name="_GoBack"/>
      <w:bookmarkEnd w:id="0"/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發文字號：管字第</w:t>
      </w:r>
      <w:r>
        <w:rPr>
          <w:rFonts w:ascii="標楷體" w:eastAsia="標楷體" w:cs="標楷體"/>
          <w:kern w:val="0"/>
          <w:szCs w:val="24"/>
          <w:lang w:val="zh-TW"/>
        </w:rPr>
        <w:t>1036001754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rPr>
          <w:rFonts w:ascii="標楷體" w:eastAsia="標楷體" w:cs="標楷體"/>
          <w:kern w:val="0"/>
          <w:szCs w:val="24"/>
          <w:lang w:val="zh-TW"/>
        </w:rPr>
      </w:pP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794" w:hanging="794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Pr="00023583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023583">
        <w:rPr>
          <w:rFonts w:ascii="標楷體" w:eastAsia="標楷體" w:cs="標楷體" w:hint="eastAsia"/>
          <w:kern w:val="0"/>
          <w:sz w:val="32"/>
          <w:szCs w:val="32"/>
          <w:lang w:val="zh-TW"/>
        </w:rPr>
        <w:t>年和平紀念日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連續假期實施國道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號北上高乘載管制措施及</w:t>
      </w:r>
      <w:r w:rsidRPr="007C2D7E">
        <w:rPr>
          <w:rFonts w:ascii="標楷體" w:eastAsia="標楷體" w:cs="標楷體" w:hint="eastAsia"/>
          <w:kern w:val="0"/>
          <w:sz w:val="32"/>
          <w:szCs w:val="32"/>
          <w:lang w:val="zh-TW"/>
        </w:rPr>
        <w:t>國道通行費率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依據：　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一、「道路交通管理處罰條例」第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條。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二、「高速公路及快速公路交通管制規則」第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項及第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項。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</w:t>
      </w:r>
      <w:hyperlink r:id="rId7" w:history="1">
        <w:r w:rsidRPr="00A77A9C">
          <w:rPr>
            <w:rFonts w:ascii="標楷體" w:eastAsia="標楷體" w:cs="標楷體" w:hint="eastAsia"/>
            <w:kern w:val="0"/>
            <w:sz w:val="32"/>
            <w:szCs w:val="32"/>
            <w:lang w:val="zh-TW"/>
          </w:rPr>
          <w:t>公路通行費徵收管理辦法</w:t>
        </w:r>
      </w:hyperlink>
      <w:r>
        <w:rPr>
          <w:rFonts w:ascii="新細明體" w:hAnsi="新細明體" w:cs="標楷體" w:hint="eastAsia"/>
          <w:kern w:val="0"/>
          <w:sz w:val="32"/>
          <w:szCs w:val="32"/>
          <w:lang w:val="zh-TW"/>
        </w:rPr>
        <w:t>」</w:t>
      </w:r>
      <w:r w:rsidRPr="00A77A9C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Pr="00A77A9C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Pr="00A77A9C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</w:t>
      </w:r>
      <w:r w:rsidRPr="00561B2F">
        <w:rPr>
          <w:rFonts w:ascii="標楷體" w:eastAsia="標楷體" w:cs="標楷體" w:hint="eastAsia"/>
          <w:kern w:val="0"/>
          <w:sz w:val="32"/>
          <w:szCs w:val="32"/>
          <w:lang w:val="zh-TW"/>
        </w:rPr>
        <w:t>國道高速公路通行費徵收計畫</w:t>
      </w:r>
      <w:r>
        <w:rPr>
          <w:rFonts w:ascii="新細明體" w:hAnsi="新細明體" w:cs="標楷體" w:hint="eastAsia"/>
          <w:kern w:val="0"/>
          <w:sz w:val="32"/>
          <w:szCs w:val="32"/>
          <w:lang w:val="zh-TW"/>
        </w:rPr>
        <w:t>」</w:t>
      </w:r>
      <w:r w:rsidRPr="00A77A9C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Pr="00A77A9C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autoSpaceDE w:val="0"/>
        <w:autoSpaceDN w:val="0"/>
        <w:adjustRightInd w:val="0"/>
        <w:spacing w:line="35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0166DE" w:rsidRDefault="000166DE" w:rsidP="007C2D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50" w:lineRule="exact"/>
        <w:ind w:leftChars="0" w:left="1055" w:hanging="73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高乘載管制</w:t>
      </w:r>
    </w:p>
    <w:p w:rsidR="000166D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日及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日，每日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15-20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時（計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小時）。</w:t>
      </w:r>
    </w:p>
    <w:p w:rsidR="000166D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範圍：國道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號頭城、宜蘭、羅東及蘇澳等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處交流道之北上入口。</w:t>
      </w:r>
    </w:p>
    <w:p w:rsidR="000166D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管制方式：高乘載管制時段內，僅允許下列車輛進入前述交流道北上入口：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乘載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人（含）以上（含駕駛及小孩）之小型車。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大客車。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計程車。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駕駛或乘客持有身心障礙證明、記者證或「高速公路高乘載管制」通行證之小型車。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管制範圍內之各交流道，大貨車（總重量逾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3,500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公斤之貨車）僅允許進入宜蘭、羅東及蘇澳等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處交流道之北上入口，惟依「雪山隧道行車安全注意事項」，北上大貨車應於頭城交流道（含）以前駛離國道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號。</w:t>
      </w:r>
    </w:p>
    <w:p w:rsidR="000166DE" w:rsidRDefault="000166DE" w:rsidP="007C2D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50" w:lineRule="exact"/>
        <w:ind w:leftChars="0" w:left="1055" w:hanging="73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國道通行費率</w:t>
      </w:r>
    </w:p>
    <w:p w:rsidR="000166D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時間：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28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Pr="007C2D7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2D7E">
        <w:rPr>
          <w:rFonts w:ascii="標楷體" w:eastAsia="標楷體" w:cs="標楷體" w:hint="eastAsia"/>
          <w:kern w:val="0"/>
          <w:sz w:val="32"/>
          <w:szCs w:val="32"/>
          <w:lang w:val="zh-TW"/>
        </w:rPr>
        <w:t>採單一費率，各車種費率如下：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小型車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0.9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公里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大型車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1.12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公里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聯結車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1.35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Pr="007C3325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公里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166DE" w:rsidRDefault="000166DE" w:rsidP="007C2D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35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3325">
        <w:rPr>
          <w:rFonts w:ascii="標楷體" w:eastAsia="標楷體" w:cs="標楷體" w:hint="eastAsia"/>
          <w:kern w:val="0"/>
          <w:sz w:val="32"/>
          <w:szCs w:val="32"/>
          <w:lang w:val="zh-TW"/>
        </w:rPr>
        <w:t>無優惠里程及長途折扣。</w:t>
      </w:r>
    </w:p>
    <w:p w:rsidR="000166DE" w:rsidRPr="007C2D7E" w:rsidRDefault="000166DE" w:rsidP="007C2D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50" w:lineRule="exact"/>
        <w:ind w:leftChars="0" w:left="1650" w:hanging="85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C2D7E">
        <w:rPr>
          <w:rFonts w:ascii="標楷體" w:eastAsia="標楷體" w:cs="標楷體" w:hint="eastAsia"/>
          <w:kern w:val="0"/>
          <w:sz w:val="32"/>
          <w:szCs w:val="32"/>
          <w:lang w:val="zh-TW"/>
        </w:rPr>
        <w:t>國道</w:t>
      </w:r>
      <w:r w:rsidRPr="007C2D7E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7C2D7E">
        <w:rPr>
          <w:rFonts w:ascii="標楷體" w:eastAsia="標楷體" w:cs="標楷體" w:hint="eastAsia"/>
          <w:kern w:val="0"/>
          <w:sz w:val="32"/>
          <w:szCs w:val="32"/>
          <w:lang w:val="zh-TW"/>
        </w:rPr>
        <w:t>號「新竹系統至燕巢系統交流道」依前述單一費率</w:t>
      </w:r>
      <w:r w:rsidRPr="007C2D7E"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 w:rsidRPr="007C2D7E">
        <w:rPr>
          <w:rFonts w:ascii="標楷體" w:eastAsia="標楷體" w:cs="標楷體" w:hint="eastAsia"/>
          <w:kern w:val="0"/>
          <w:sz w:val="32"/>
          <w:szCs w:val="32"/>
          <w:lang w:val="zh-TW"/>
        </w:rPr>
        <w:t>折收費。</w:t>
      </w:r>
    </w:p>
    <w:sectPr w:rsidR="000166DE" w:rsidRPr="007C2D7E" w:rsidSect="003631B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DE" w:rsidRDefault="000166DE" w:rsidP="00023583">
      <w:r>
        <w:separator/>
      </w:r>
    </w:p>
  </w:endnote>
  <w:endnote w:type="continuationSeparator" w:id="0">
    <w:p w:rsidR="000166DE" w:rsidRDefault="000166DE" w:rsidP="0002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DE" w:rsidRDefault="000166DE" w:rsidP="00023583">
      <w:r>
        <w:separator/>
      </w:r>
    </w:p>
  </w:footnote>
  <w:footnote w:type="continuationSeparator" w:id="0">
    <w:p w:rsidR="000166DE" w:rsidRDefault="000166DE" w:rsidP="00023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51B"/>
    <w:multiLevelType w:val="hybridMultilevel"/>
    <w:tmpl w:val="C2443EDA"/>
    <w:lvl w:ilvl="0" w:tplc="E160C4A0">
      <w:start w:val="1"/>
      <w:numFmt w:val="taiwaneseCountingThousand"/>
      <w:lvlText w:val="%1、"/>
      <w:lvlJc w:val="left"/>
      <w:pPr>
        <w:ind w:left="980" w:hanging="6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>
    <w:nsid w:val="7DA509B3"/>
    <w:multiLevelType w:val="hybridMultilevel"/>
    <w:tmpl w:val="E612E41C"/>
    <w:lvl w:ilvl="0" w:tplc="F4504D1C">
      <w:start w:val="1"/>
      <w:numFmt w:val="taiwaneseCountingThousand"/>
      <w:lvlText w:val="%1、"/>
      <w:lvlJc w:val="left"/>
      <w:pPr>
        <w:ind w:left="800" w:hanging="480"/>
      </w:pPr>
      <w:rPr>
        <w:rFonts w:cs="Times New Roman" w:hint="eastAsia"/>
        <w:b w:val="0"/>
        <w:i w:val="0"/>
        <w:sz w:val="32"/>
      </w:rPr>
    </w:lvl>
    <w:lvl w:ilvl="1" w:tplc="FD425F86">
      <w:start w:val="1"/>
      <w:numFmt w:val="taiwaneseCountingThousand"/>
      <w:lvlText w:val="（%2）"/>
      <w:lvlJc w:val="left"/>
      <w:pPr>
        <w:ind w:left="1280" w:hanging="480"/>
      </w:pPr>
      <w:rPr>
        <w:rFonts w:cs="Times New Roman" w:hint="eastAsia"/>
        <w:b w:val="0"/>
        <w:i w:val="0"/>
        <w:sz w:val="28"/>
      </w:rPr>
    </w:lvl>
    <w:lvl w:ilvl="2" w:tplc="606226C0">
      <w:start w:val="1"/>
      <w:numFmt w:val="decimal"/>
      <w:lvlText w:val="%3."/>
      <w:lvlJc w:val="left"/>
      <w:pPr>
        <w:ind w:left="1760" w:hanging="480"/>
      </w:pPr>
      <w:rPr>
        <w:rFonts w:ascii="Times New Roman" w:hAnsi="Times New Roman" w:cs="Arial"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B5"/>
    <w:rsid w:val="000166DE"/>
    <w:rsid w:val="00023583"/>
    <w:rsid w:val="000A77E7"/>
    <w:rsid w:val="00171C1A"/>
    <w:rsid w:val="002777C3"/>
    <w:rsid w:val="0028349A"/>
    <w:rsid w:val="003631B2"/>
    <w:rsid w:val="003D618B"/>
    <w:rsid w:val="00402932"/>
    <w:rsid w:val="005410CD"/>
    <w:rsid w:val="00561B2F"/>
    <w:rsid w:val="00626A8B"/>
    <w:rsid w:val="007C2D7E"/>
    <w:rsid w:val="007C3325"/>
    <w:rsid w:val="00924E47"/>
    <w:rsid w:val="00956352"/>
    <w:rsid w:val="00A77A9C"/>
    <w:rsid w:val="00A92117"/>
    <w:rsid w:val="00AF5DB5"/>
    <w:rsid w:val="00B44C18"/>
    <w:rsid w:val="00C03C6E"/>
    <w:rsid w:val="00C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B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58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3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58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C332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A77A9C"/>
    <w:rPr>
      <w:rFonts w:cs="Times New Roman"/>
      <w:color w:val="000000"/>
      <w:u w:val="single"/>
    </w:rPr>
  </w:style>
  <w:style w:type="paragraph" w:customStyle="1" w:styleId="Default">
    <w:name w:val="Default"/>
    <w:uiPriority w:val="99"/>
    <w:rsid w:val="00561B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tclaw.motc.gov.tw/Law_ShowAll.aspx?LawID=E0132000&amp;Mode=0&amp;PageTitle=%E6%A2%9D%E6%96%87%E5%85%A7%E5%AE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交通部臺灣區國道高速公路局　公告</dc:title>
  <dc:subject/>
  <dc:creator>高公局</dc:creator>
  <cp:keywords/>
  <dc:description/>
  <cp:lastModifiedBy>e-land</cp:lastModifiedBy>
  <cp:revision>2</cp:revision>
  <dcterms:created xsi:type="dcterms:W3CDTF">2014-02-24T10:28:00Z</dcterms:created>
  <dcterms:modified xsi:type="dcterms:W3CDTF">2014-02-24T10:28:00Z</dcterms:modified>
</cp:coreProperties>
</file>