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E684" w14:textId="77777777" w:rsidR="00AC5263" w:rsidRDefault="00684F5E">
      <w:pPr>
        <w:pStyle w:val="1"/>
        <w:rPr>
          <w:rFonts w:ascii="標楷體" w:eastAsia="標楷體" w:hAnsi="標楷體"/>
        </w:rPr>
      </w:pPr>
      <w:r>
        <w:rPr>
          <w:rFonts w:ascii="標楷體" w:eastAsia="標楷體" w:hAnsi="標楷體"/>
        </w:rPr>
        <w:t>容器串接使用場所供應設備暨竣工檢查申報備查注意</w:t>
      </w:r>
    </w:p>
    <w:p w14:paraId="057C2B60" w14:textId="77777777" w:rsidR="00AC5263" w:rsidRDefault="00684F5E">
      <w:pPr>
        <w:pStyle w:val="Textbody"/>
        <w:spacing w:before="52"/>
        <w:ind w:left="1640"/>
        <w:rPr>
          <w:rFonts w:ascii="標楷體" w:eastAsia="標楷體" w:hAnsi="標楷體"/>
          <w:sz w:val="36"/>
        </w:rPr>
      </w:pPr>
      <w:r>
        <w:rPr>
          <w:rFonts w:ascii="標楷體" w:eastAsia="標楷體" w:hAnsi="標楷體"/>
          <w:sz w:val="36"/>
        </w:rPr>
        <w:t>事項</w:t>
      </w:r>
    </w:p>
    <w:p w14:paraId="0798B80D" w14:textId="77777777" w:rsidR="00AC5263" w:rsidRDefault="00684F5E">
      <w:pPr>
        <w:pStyle w:val="a3"/>
        <w:spacing w:before="71"/>
        <w:ind w:left="2199" w:right="1824" w:hanging="560"/>
        <w:jc w:val="both"/>
        <w:rPr>
          <w:rFonts w:ascii="標楷體" w:eastAsia="標楷體" w:hAnsi="標楷體"/>
        </w:rPr>
      </w:pPr>
      <w:r>
        <w:rPr>
          <w:rFonts w:ascii="標楷體" w:eastAsia="標楷體" w:hAnsi="標楷體"/>
        </w:rPr>
        <w:t>一、為執行公共危險物品及可燃性高壓氣體製造儲存處理場所設置標準暨安全管理辦法第六十九條之一第二項及第七十三條之一第二項規定，特訂定本注意事項。</w:t>
      </w:r>
    </w:p>
    <w:p w14:paraId="08D98AB7" w14:textId="77777777" w:rsidR="00AC5263" w:rsidRDefault="00684F5E">
      <w:pPr>
        <w:pStyle w:val="a3"/>
        <w:spacing w:before="6"/>
        <w:ind w:left="2199" w:right="1823" w:hanging="560"/>
        <w:rPr>
          <w:rFonts w:ascii="標楷體" w:eastAsia="標楷體" w:hAnsi="標楷體"/>
        </w:rPr>
      </w:pPr>
      <w:r>
        <w:rPr>
          <w:rFonts w:ascii="標楷體" w:eastAsia="標楷體" w:hAnsi="標楷體"/>
        </w:rPr>
        <w:t>二、液化石油氣販賣場所（以下簡稱販賣場所）之經營者針對其供氣之容器串接使用場所，應辦理下列事項：</w:t>
      </w:r>
    </w:p>
    <w:p w14:paraId="1CAB469B" w14:textId="77777777" w:rsidR="00AC5263" w:rsidRDefault="00684F5E">
      <w:pPr>
        <w:pStyle w:val="a3"/>
        <w:spacing w:before="3"/>
        <w:ind w:left="2480" w:right="1824" w:hanging="840"/>
        <w:jc w:val="both"/>
      </w:pPr>
      <w:r>
        <w:rPr>
          <w:rFonts w:ascii="標楷體" w:eastAsia="標楷體" w:hAnsi="標楷體"/>
        </w:rPr>
        <w:t>（一）</w:t>
      </w:r>
      <w:r>
        <w:rPr>
          <w:rFonts w:ascii="標楷體" w:eastAsia="標楷體" w:hAnsi="標楷體"/>
          <w:spacing w:val="-3"/>
        </w:rPr>
        <w:t>於每年四月及十月，向販賣場所及供應設備所在地之消防機</w:t>
      </w:r>
      <w:r>
        <w:rPr>
          <w:rFonts w:ascii="標楷體" w:eastAsia="標楷體" w:hAnsi="標楷體"/>
          <w:spacing w:val="-4"/>
        </w:rPr>
        <w:t>關，申報容器串接使用場所名稱、地址、供應設備維護及檢</w:t>
      </w:r>
      <w:r>
        <w:rPr>
          <w:rFonts w:ascii="標楷體" w:eastAsia="標楷體" w:hAnsi="標楷體"/>
          <w:spacing w:val="-2"/>
        </w:rPr>
        <w:t>修情形等相關資料</w:t>
      </w:r>
      <w:r>
        <w:rPr>
          <w:rFonts w:ascii="標楷體" w:eastAsia="標楷體" w:hAnsi="標楷體"/>
        </w:rPr>
        <w:t>（</w:t>
      </w:r>
      <w:r>
        <w:rPr>
          <w:rFonts w:ascii="標楷體" w:eastAsia="標楷體" w:hAnsi="標楷體"/>
          <w:spacing w:val="-1"/>
        </w:rPr>
        <w:t>如附表一</w:t>
      </w:r>
      <w:r>
        <w:rPr>
          <w:rFonts w:ascii="標楷體" w:eastAsia="標楷體" w:hAnsi="標楷體"/>
          <w:spacing w:val="-142"/>
        </w:rPr>
        <w:t>）</w:t>
      </w:r>
      <w:r>
        <w:rPr>
          <w:rFonts w:ascii="標楷體" w:eastAsia="標楷體" w:hAnsi="標楷體"/>
        </w:rPr>
        <w:t>。</w:t>
      </w:r>
    </w:p>
    <w:p w14:paraId="71C05DA8" w14:textId="7DA62E1A" w:rsidR="00AC5263" w:rsidRDefault="00684F5E">
      <w:pPr>
        <w:pStyle w:val="a3"/>
        <w:spacing w:before="5"/>
        <w:ind w:left="2480" w:right="1824" w:hanging="840"/>
        <w:rPr>
          <w:rFonts w:ascii="標楷體" w:eastAsia="標楷體" w:hAnsi="標楷體" w:hint="eastAsia"/>
        </w:rPr>
        <w:sectPr w:rsidR="00AC5263">
          <w:pgSz w:w="11910" w:h="16840"/>
          <w:pgMar w:top="1520" w:right="160" w:bottom="280" w:left="160" w:header="720" w:footer="720" w:gutter="0"/>
          <w:cols w:space="720"/>
        </w:sectPr>
      </w:pPr>
      <w:r>
        <w:rPr>
          <w:rFonts w:ascii="標楷體" w:eastAsia="標楷體" w:hAnsi="標楷體"/>
        </w:rPr>
        <w:t>（二）於燃氣導管竣工檢查完成後十五日內，將相關資料（如附表二）向供應設備所在地之消防機關報請備查</w:t>
      </w:r>
    </w:p>
    <w:p w14:paraId="3086949B" w14:textId="70BC2A0D" w:rsidR="00AC5263" w:rsidRPr="00684F5E" w:rsidRDefault="00AC5263" w:rsidP="00684F5E">
      <w:pPr>
        <w:pStyle w:val="Textbody"/>
        <w:rPr>
          <w:rFonts w:eastAsiaTheme="minorEastAsia" w:hint="eastAsia"/>
        </w:rPr>
      </w:pPr>
    </w:p>
    <w:sectPr w:rsidR="00AC5263" w:rsidRPr="00684F5E" w:rsidSect="00684F5E">
      <w:pgSz w:w="11910" w:h="16840"/>
      <w:pgMar w:top="280" w:right="16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82A0" w14:textId="77777777" w:rsidR="00000000" w:rsidRDefault="00684F5E">
      <w:r>
        <w:separator/>
      </w:r>
    </w:p>
  </w:endnote>
  <w:endnote w:type="continuationSeparator" w:id="0">
    <w:p w14:paraId="40080FD7" w14:textId="77777777" w:rsidR="00000000" w:rsidRDefault="0068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58F5" w14:textId="77777777" w:rsidR="00000000" w:rsidRDefault="00684F5E">
      <w:r>
        <w:rPr>
          <w:color w:val="000000"/>
        </w:rPr>
        <w:separator/>
      </w:r>
    </w:p>
  </w:footnote>
  <w:footnote w:type="continuationSeparator" w:id="0">
    <w:p w14:paraId="5A2732A3" w14:textId="77777777" w:rsidR="00000000" w:rsidRDefault="0068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C5263"/>
    <w:rsid w:val="00684F5E"/>
    <w:rsid w:val="00AC5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73C25"/>
  <w15:docId w15:val="{52EEAFD3-9624-4584-94AB-0D14EF34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Textbody"/>
    <w:uiPriority w:val="9"/>
    <w:qFormat/>
    <w:pPr>
      <w:ind w:left="1640"/>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pPr>
      <w:suppressAutoHyphens/>
    </w:pPr>
    <w:rPr>
      <w:rFonts w:ascii="Noto Sans Mono CJK JP Bold" w:eastAsia="Noto Sans Mono CJK JP Bold" w:hAnsi="Noto Sans Mono CJK JP Bold" w:cs="Noto Sans Mono CJK JP Bold"/>
      <w:lang w:eastAsia="zh-TW"/>
    </w:rPr>
  </w:style>
  <w:style w:type="paragraph" w:styleId="a3">
    <w:name w:val="Body Text"/>
    <w:basedOn w:val="Textbody"/>
    <w:rPr>
      <w:sz w:val="28"/>
      <w:szCs w:val="28"/>
    </w:rPr>
  </w:style>
  <w:style w:type="paragraph" w:styleId="a4">
    <w:name w:val="List Paragraph"/>
    <w:basedOn w:val="Textbody"/>
  </w:style>
  <w:style w:type="paragraph" w:customStyle="1" w:styleId="TableParagraph">
    <w:name w:val="Table Paragraph"/>
    <w:basedOn w:val="Textbody"/>
  </w:style>
  <w:style w:type="paragraph" w:customStyle="1" w:styleId="TableContents">
    <w:name w:val="Table Contents"/>
    <w:basedOn w:val="Standard"/>
    <w:pPr>
      <w:suppressLineNumbers/>
    </w:pPr>
  </w:style>
  <w:style w:type="paragraph" w:customStyle="1" w:styleId="Framecontents">
    <w:name w:val="Frame contents"/>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莊念恩</dc:creator>
  <cp:lastModifiedBy>15550</cp:lastModifiedBy>
  <cp:revision>2</cp:revision>
  <dcterms:created xsi:type="dcterms:W3CDTF">2021-12-30T02:33:00Z</dcterms:created>
  <dcterms:modified xsi:type="dcterms:W3CDTF">2021-12-30T02:33:00Z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2013</vt:lpwstr>
  </property>
  <property fmtid="{D5CDD505-2E9C-101B-9397-08002B2CF9AE}" pid="4" name="LastSaved">
    <vt:filetime>2021-12-17T00:00:00Z</vt:filetime>
  </property>
</Properties>
</file>