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04" w:rsidRPr="004E1E04" w:rsidRDefault="004E1E04" w:rsidP="004E1E04">
      <w:pPr>
        <w:pStyle w:val="cjk"/>
        <w:pageBreakBefore/>
        <w:spacing w:before="181" w:beforeAutospacing="0" w:after="181" w:line="400" w:lineRule="exact"/>
        <w:ind w:firstLineChars="600" w:firstLine="1922"/>
        <w:rPr>
          <w:sz w:val="32"/>
          <w:szCs w:val="32"/>
        </w:rPr>
      </w:pPr>
      <w:bookmarkStart w:id="0" w:name="_GoBack"/>
      <w:bookmarkEnd w:id="0"/>
      <w:r w:rsidRPr="004E1E04">
        <w:rPr>
          <w:rFonts w:ascii="標楷體" w:eastAsia="標楷體" w:hAnsi="標楷體" w:hint="eastAsia"/>
          <w:b/>
          <w:bCs/>
          <w:sz w:val="32"/>
          <w:szCs w:val="32"/>
        </w:rPr>
        <w:t>客家委員會推動客庄產業創新加值督導評核要點</w:t>
      </w:r>
    </w:p>
    <w:p w:rsidR="004E1E04" w:rsidRDefault="004E1E04" w:rsidP="004E1E04">
      <w:pPr>
        <w:pStyle w:val="cjk"/>
        <w:spacing w:before="102" w:beforeAutospacing="0" w:after="102" w:line="400" w:lineRule="exact"/>
        <w:jc w:val="center"/>
        <w:rPr>
          <w:rFonts w:hint="eastAsia"/>
        </w:rPr>
      </w:pPr>
      <w:r>
        <w:rPr>
          <w:rFonts w:ascii="標楷體" w:eastAsia="標楷體" w:hAnsi="標楷體" w:hint="eastAsia"/>
          <w:color w:val="333333"/>
          <w:sz w:val="18"/>
          <w:szCs w:val="18"/>
        </w:rPr>
        <w:t>中華民國一百零四年十二月二十一日客</w:t>
      </w:r>
      <w:proofErr w:type="gramStart"/>
      <w:r>
        <w:rPr>
          <w:rFonts w:ascii="標楷體" w:eastAsia="標楷體" w:hAnsi="標楷體" w:hint="eastAsia"/>
          <w:color w:val="333333"/>
          <w:sz w:val="18"/>
          <w:szCs w:val="18"/>
        </w:rPr>
        <w:t>會產字第一</w:t>
      </w:r>
      <w:proofErr w:type="gramEnd"/>
      <w:r>
        <w:rPr>
          <w:rFonts w:ascii="標楷體" w:eastAsia="標楷體" w:hAnsi="標楷體" w:cs="Times New Roman" w:hint="eastAsia"/>
          <w:color w:val="333333"/>
          <w:sz w:val="18"/>
          <w:szCs w:val="18"/>
        </w:rPr>
        <w:t>0</w:t>
      </w:r>
      <w:proofErr w:type="gramStart"/>
      <w:r>
        <w:rPr>
          <w:rFonts w:ascii="標楷體" w:eastAsia="標楷體" w:hAnsi="標楷體" w:hint="eastAsia"/>
          <w:color w:val="333333"/>
          <w:sz w:val="18"/>
          <w:szCs w:val="18"/>
        </w:rPr>
        <w:t>四</w:t>
      </w:r>
      <w:r>
        <w:rPr>
          <w:rFonts w:ascii="標楷體" w:eastAsia="標楷體" w:hAnsi="標楷體" w:cs="Times New Roman" w:hint="eastAsia"/>
          <w:color w:val="333333"/>
          <w:sz w:val="18"/>
          <w:szCs w:val="18"/>
        </w:rPr>
        <w:t>00</w:t>
      </w:r>
      <w:r>
        <w:rPr>
          <w:rFonts w:ascii="標楷體" w:eastAsia="標楷體" w:hAnsi="標楷體" w:hint="eastAsia"/>
          <w:color w:val="333333"/>
          <w:sz w:val="18"/>
          <w:szCs w:val="18"/>
        </w:rPr>
        <w:t>二</w:t>
      </w:r>
      <w:r>
        <w:rPr>
          <w:rFonts w:ascii="標楷體" w:eastAsia="標楷體" w:hAnsi="標楷體" w:cs="Times New Roman" w:hint="eastAsia"/>
          <w:color w:val="333333"/>
          <w:sz w:val="18"/>
          <w:szCs w:val="18"/>
        </w:rPr>
        <w:t>0</w:t>
      </w:r>
      <w:proofErr w:type="gramEnd"/>
      <w:r>
        <w:rPr>
          <w:rFonts w:ascii="標楷體" w:eastAsia="標楷體" w:hAnsi="標楷體" w:hint="eastAsia"/>
          <w:color w:val="333333"/>
          <w:sz w:val="18"/>
          <w:szCs w:val="18"/>
        </w:rPr>
        <w:t>一六六號令訂定 中華民國一百零八年十一月八日客</w:t>
      </w:r>
      <w:proofErr w:type="gramStart"/>
      <w:r>
        <w:rPr>
          <w:rFonts w:ascii="標楷體" w:eastAsia="標楷體" w:hAnsi="標楷體" w:hint="eastAsia"/>
          <w:color w:val="333333"/>
          <w:sz w:val="18"/>
          <w:szCs w:val="18"/>
        </w:rPr>
        <w:t>會產字第一</w:t>
      </w:r>
      <w:proofErr w:type="gramEnd"/>
      <w:r>
        <w:rPr>
          <w:rFonts w:ascii="標楷體" w:eastAsia="標楷體" w:hAnsi="標楷體" w:cs="Times New Roman" w:hint="eastAsia"/>
          <w:color w:val="333333"/>
          <w:sz w:val="18"/>
          <w:szCs w:val="18"/>
        </w:rPr>
        <w:t>0</w:t>
      </w:r>
      <w:r>
        <w:rPr>
          <w:rFonts w:ascii="標楷體" w:eastAsia="標楷體" w:hAnsi="標楷體" w:hint="eastAsia"/>
          <w:color w:val="333333"/>
          <w:sz w:val="18"/>
          <w:szCs w:val="18"/>
        </w:rPr>
        <w:t>八六六</w:t>
      </w:r>
      <w:r>
        <w:rPr>
          <w:rFonts w:ascii="標楷體" w:eastAsia="標楷體" w:hAnsi="標楷體" w:cs="Times New Roman" w:hint="eastAsia"/>
          <w:color w:val="333333"/>
          <w:sz w:val="18"/>
          <w:szCs w:val="18"/>
        </w:rPr>
        <w:t>0</w:t>
      </w:r>
      <w:r>
        <w:rPr>
          <w:rFonts w:ascii="標楷體" w:eastAsia="標楷體" w:hAnsi="標楷體" w:hint="eastAsia"/>
          <w:color w:val="333333"/>
          <w:sz w:val="18"/>
          <w:szCs w:val="18"/>
        </w:rPr>
        <w:t>一八八二一號令修正 中華民國一百零九年三月三日客</w:t>
      </w:r>
      <w:proofErr w:type="gramStart"/>
      <w:r>
        <w:rPr>
          <w:rFonts w:ascii="標楷體" w:eastAsia="標楷體" w:hAnsi="標楷體" w:hint="eastAsia"/>
          <w:color w:val="333333"/>
          <w:sz w:val="18"/>
          <w:szCs w:val="18"/>
        </w:rPr>
        <w:t>會產字第一</w:t>
      </w:r>
      <w:proofErr w:type="gramEnd"/>
      <w:r>
        <w:rPr>
          <w:rFonts w:ascii="標楷體" w:eastAsia="標楷體" w:hAnsi="標楷體" w:cs="Times New Roman" w:hint="eastAsia"/>
          <w:color w:val="333333"/>
          <w:sz w:val="18"/>
          <w:szCs w:val="18"/>
        </w:rPr>
        <w:t>O</w:t>
      </w:r>
      <w:r>
        <w:rPr>
          <w:rFonts w:ascii="標楷體" w:eastAsia="標楷體" w:hAnsi="標楷體" w:hint="eastAsia"/>
          <w:color w:val="333333"/>
          <w:sz w:val="18"/>
          <w:szCs w:val="18"/>
        </w:rPr>
        <w:t>九六六</w:t>
      </w:r>
      <w:r>
        <w:rPr>
          <w:rFonts w:ascii="標楷體" w:eastAsia="標楷體" w:hAnsi="標楷體" w:cs="Times New Roman" w:hint="eastAsia"/>
          <w:color w:val="333333"/>
          <w:sz w:val="18"/>
          <w:szCs w:val="18"/>
        </w:rPr>
        <w:t>OO</w:t>
      </w:r>
      <w:r>
        <w:rPr>
          <w:rFonts w:ascii="標楷體" w:eastAsia="標楷體" w:hAnsi="標楷體" w:hint="eastAsia"/>
          <w:color w:val="333333"/>
          <w:sz w:val="18"/>
          <w:szCs w:val="18"/>
        </w:rPr>
        <w:t>一四三二號令修正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一、客家委員會(以下簡稱本會)為督導及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評核依本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會推動客庄產業創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新加值核定之個案計畫執行進度，依上開計畫補助作業要點，訂</w:t>
      </w:r>
    </w:p>
    <w:p w:rsidR="004E1E04" w:rsidRDefault="004E1E04" w:rsidP="004E1E04">
      <w:pPr>
        <w:pStyle w:val="-cjk"/>
        <w:spacing w:line="400" w:lineRule="exact"/>
        <w:ind w:firstLine="561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定本要點(以下簡稱本要點)。</w:t>
      </w:r>
    </w:p>
    <w:p w:rsidR="004E1E04" w:rsidRDefault="004E1E04" w:rsidP="004E1E04">
      <w:pPr>
        <w:pStyle w:val="-cjk"/>
        <w:spacing w:line="400" w:lineRule="exact"/>
        <w:ind w:left="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二、本要點適用對象為依據本會推動客庄產業創新加值作業要點，經</w:t>
      </w:r>
    </w:p>
    <w:p w:rsidR="004E1E04" w:rsidRDefault="004E1E04" w:rsidP="004E1E04">
      <w:pPr>
        <w:pStyle w:val="-cjk"/>
        <w:spacing w:line="400" w:lineRule="exact"/>
        <w:ind w:firstLine="561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本會核定補助之地方政府及民間團體 (以下簡稱受補助單位)。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三、管制與追蹤：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)除行銷推廣類外，受補助單位於本會審查核定後十五日內，應填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具分月計畫工作摘要進度表(附件一)，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修正計畫書，送當地直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轄市、縣(市)政府初審後，再由該直轄市、縣(市)政府函送本會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審，辦理追蹤管制事宜。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二)前款受補助單位於本會函復同意備查分月計畫工作摘要進度表之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月起，應每季就計畫辦理情形，填具執行進度考核表(附件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二)，送當地直轄市、縣(市)政府初審後，再由該直轄市、縣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市)政府於考核週期結束之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月十五日前函送本會備查。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三)前二款情形，受補助單位為民間團體者，由受補助單位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送本會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核備。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四)受補助單位應確實填報分月計畫工作摘要進度表及執行進度考核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表，填報是否詳實將列為日後補助審查之參考。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四、訪查與督導：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)為辦理受補助計畫之訪查與督導，本會業務主辦單位應擬定年度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實地訪查實施計畫據以實施。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二)本會得派員或委託學者專家辦理實地訪查或請受補助單位到本會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說明，受補助單位及當地之直轄市、縣(市)政府應配合辦理，不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得拒絕。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三)實地訪查以抽查方式辦理，訪查人員由本會指派人員擔任，並得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視實際需要邀請專家學者共同參與。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四)本會辦理實地訪查或請受補助單位及直轄市、縣(市)政府派員到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本會說明時，應通知本會主計室及政風室，主計室及政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風室得視</w:t>
      </w:r>
      <w:proofErr w:type="gramEnd"/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情形派員出席。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五)實地訪查人員應填寫訪查紀錄，於訪查結束後一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內陳核。訪查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事項至少應包含：</w:t>
      </w:r>
    </w:p>
    <w:p w:rsidR="004E1E04" w:rsidRDefault="004E1E04" w:rsidP="004E1E04">
      <w:pPr>
        <w:pStyle w:val="-cjk"/>
        <w:numPr>
          <w:ilvl w:val="0"/>
          <w:numId w:val="1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全年度可支用預算數實際執行情形。</w:t>
      </w:r>
    </w:p>
    <w:p w:rsidR="004E1E04" w:rsidRDefault="004E1E04" w:rsidP="004E1E04">
      <w:pPr>
        <w:pStyle w:val="-cjk"/>
        <w:numPr>
          <w:ilvl w:val="0"/>
          <w:numId w:val="1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計畫執行工作進度及預期效益之達成度。</w:t>
      </w:r>
    </w:p>
    <w:p w:rsidR="004E1E04" w:rsidRDefault="004E1E04" w:rsidP="004E1E04">
      <w:pPr>
        <w:pStyle w:val="-cjk"/>
        <w:numPr>
          <w:ilvl w:val="0"/>
          <w:numId w:val="1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推動小組或籌備委員會組成及實際運作情形。</w:t>
      </w:r>
    </w:p>
    <w:p w:rsidR="004E1E04" w:rsidRDefault="004E1E04" w:rsidP="004E1E04">
      <w:pPr>
        <w:pStyle w:val="-cjk"/>
        <w:numPr>
          <w:ilvl w:val="0"/>
          <w:numId w:val="1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計畫推動過程遭遇困難及尋求本會協助事項之瞭解與處理。</w:t>
      </w:r>
    </w:p>
    <w:p w:rsidR="004E1E04" w:rsidRDefault="004E1E04" w:rsidP="004E1E04">
      <w:pPr>
        <w:pStyle w:val="-cjk"/>
        <w:numPr>
          <w:ilvl w:val="0"/>
          <w:numId w:val="1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計畫宣導事項標明本會補助等相關字樣情形。</w:t>
      </w:r>
    </w:p>
    <w:p w:rsidR="004E1E04" w:rsidRDefault="004E1E04" w:rsidP="004E1E04">
      <w:pPr>
        <w:pStyle w:val="-cjk"/>
        <w:numPr>
          <w:ilvl w:val="0"/>
          <w:numId w:val="1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成果發表及推廣應用情形。</w:t>
      </w:r>
    </w:p>
    <w:p w:rsidR="004E1E04" w:rsidRDefault="004E1E04" w:rsidP="004E1E04">
      <w:pPr>
        <w:pStyle w:val="-cjk"/>
        <w:numPr>
          <w:ilvl w:val="0"/>
          <w:numId w:val="1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其他與計畫有關之事項。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五、獎懲：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)計畫執行成效顯著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績優時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，本會得於推動客庄產業創新加值補助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作業要點第4點第1款所定最高補助比率範圍內調增補助比率。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二)依本會核定之分月計畫工作摘要進度表所訂期程，扣除不可抗力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之特殊因素影響外，計畫累計執行進度落後達百分之二十以上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者，翌年度本會得依下列標準檢討減列補助額度或不予編列預算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補助：</w:t>
      </w:r>
    </w:p>
    <w:p w:rsidR="004E1E04" w:rsidRDefault="004E1E04" w:rsidP="004E1E04">
      <w:pPr>
        <w:pStyle w:val="-cjk"/>
        <w:numPr>
          <w:ilvl w:val="0"/>
          <w:numId w:val="2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達百分之二十以上，未達百分之三十者，翌年度補助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金額調減百分之二十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4E1E04" w:rsidRDefault="004E1E04" w:rsidP="004E1E04">
      <w:pPr>
        <w:pStyle w:val="-cjk"/>
        <w:numPr>
          <w:ilvl w:val="0"/>
          <w:numId w:val="2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達百分之三十以上，未達百分之四十者，翌年度補助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金額調減百分之三十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4E1E04" w:rsidRDefault="004E1E04" w:rsidP="004E1E04">
      <w:pPr>
        <w:pStyle w:val="-cjk"/>
        <w:numPr>
          <w:ilvl w:val="0"/>
          <w:numId w:val="2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達百分之四十以上，未達百分之五十者，翌年度補助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金額調減百分之四十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4E1E04" w:rsidRDefault="004E1E04" w:rsidP="004E1E04">
      <w:pPr>
        <w:pStyle w:val="-cjk"/>
        <w:numPr>
          <w:ilvl w:val="0"/>
          <w:numId w:val="2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達百分之五十以上者，翌年度得不予編列預算補助。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三)受補助單位未依核定計畫內容執行，本會函請修正仍不予改善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時，本會得減列補助金額或撤銷其補助，經減列或撤銷補助者，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應於一個月內辦理繳回本會核撥之補助經費及孳息，業已發生對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第三人之債務時，應由受補助單位自行籌措支付。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六、前點第二款所稱不可抗力之特殊因素，係指各受補助單位執行計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畫之支出預算已善盡職責，但因遭遇非各該單位所能掌控情事、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受天災等自然環境影響或為健全政府財政執行節約措施，致進度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落後或延誤，或預算產生節餘等因素，其情形如下：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)非執行單位所能掌控者，包括：</w:t>
      </w:r>
    </w:p>
    <w:p w:rsidR="004E1E04" w:rsidRDefault="004E1E04" w:rsidP="004E1E04">
      <w:pPr>
        <w:pStyle w:val="-cjk"/>
        <w:numPr>
          <w:ilvl w:val="0"/>
          <w:numId w:val="3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因民意機關之決議，或未能適時審議通過相關法案，致所列預算無法據以執行，進度落後、緩辦或停辦者。</w:t>
      </w:r>
    </w:p>
    <w:p w:rsidR="004E1E04" w:rsidRDefault="004E1E04" w:rsidP="004E1E04">
      <w:pPr>
        <w:pStyle w:val="-cjk"/>
        <w:numPr>
          <w:ilvl w:val="0"/>
          <w:numId w:val="3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因政府法令新定、變更，或因民眾、相關權益人抗爭影響，須調整原計畫或變更設計，或須協調解決紛爭，致進度落後者。</w:t>
      </w:r>
    </w:p>
    <w:p w:rsidR="004E1E04" w:rsidRDefault="004E1E04" w:rsidP="004E1E04">
      <w:pPr>
        <w:pStyle w:val="-cjk"/>
        <w:numPr>
          <w:ilvl w:val="0"/>
          <w:numId w:val="3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執行單位已在合理時間提出申請，而相關權責單位未能在規定作業期間核發核准文件，致影響計畫執行進度者。</w:t>
      </w:r>
    </w:p>
    <w:p w:rsidR="004E1E04" w:rsidRDefault="004E1E04" w:rsidP="004E1E04">
      <w:pPr>
        <w:pStyle w:val="-cjk"/>
        <w:numPr>
          <w:ilvl w:val="0"/>
          <w:numId w:val="3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因不可歸責於執行單位之事由，經招標未決，進度落後者。</w:t>
      </w:r>
    </w:p>
    <w:p w:rsidR="004E1E04" w:rsidRDefault="004E1E04" w:rsidP="004E1E04">
      <w:pPr>
        <w:pStyle w:val="-cjk"/>
        <w:numPr>
          <w:ilvl w:val="0"/>
          <w:numId w:val="3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收支並列性質之支出，因收入短收，致支出須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相對減支者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4E1E04" w:rsidRDefault="004E1E04" w:rsidP="004E1E04">
      <w:pPr>
        <w:pStyle w:val="-cjk"/>
        <w:numPr>
          <w:ilvl w:val="0"/>
          <w:numId w:val="3"/>
        </w:numPr>
        <w:spacing w:line="400" w:lineRule="exact"/>
        <w:ind w:left="120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國外採購支出，因受他國政府、國外廠商未能配合，致進度落後者。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二)受天災、地質及天候等自然環境影響，無法順利執行計畫，致計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畫延長、進度落後或未執行者。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三)執行政府節約措施或辦理招標，致預算節餘未辦保留者。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四)其他不可歸責於執行單位之事由，經本會認定者。</w:t>
      </w:r>
    </w:p>
    <w:p w:rsidR="004E1E04" w:rsidRDefault="004E1E04" w:rsidP="004E1E04">
      <w:pPr>
        <w:pStyle w:val="-cjk"/>
        <w:spacing w:line="4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七、本要點未規定者，依其他相關法令規定辦理。</w:t>
      </w:r>
    </w:p>
    <w:p w:rsidR="004A3CB9" w:rsidRPr="004E1E04" w:rsidRDefault="004A3CB9" w:rsidP="004E1E04">
      <w:pPr>
        <w:spacing w:line="400" w:lineRule="exact"/>
      </w:pPr>
    </w:p>
    <w:sectPr w:rsidR="004A3CB9" w:rsidRPr="004E1E04" w:rsidSect="004E1E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630"/>
    <w:multiLevelType w:val="multilevel"/>
    <w:tmpl w:val="B316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B524E"/>
    <w:multiLevelType w:val="multilevel"/>
    <w:tmpl w:val="5C70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C042C"/>
    <w:multiLevelType w:val="multilevel"/>
    <w:tmpl w:val="6016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04"/>
    <w:rsid w:val="00181597"/>
    <w:rsid w:val="00474779"/>
    <w:rsid w:val="004A3CB9"/>
    <w:rsid w:val="004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5E7D5-322A-4140-95FD-CB15F5DD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cjk">
    <w:name w:val="清單段落-cjk"/>
    <w:basedOn w:val="a"/>
    <w:rsid w:val="004E1E04"/>
    <w:pPr>
      <w:widowControl/>
      <w:spacing w:before="100" w:beforeAutospacing="1"/>
      <w:ind w:left="482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">
    <w:name w:val="cjk"/>
    <w:basedOn w:val="a"/>
    <w:rsid w:val="004E1E04"/>
    <w:pPr>
      <w:widowControl/>
      <w:spacing w:before="100" w:before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2020-03-05T00:33:00Z</dcterms:created>
  <dcterms:modified xsi:type="dcterms:W3CDTF">2020-03-05T00:35:00Z</dcterms:modified>
</cp:coreProperties>
</file>