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56" w:rsidRDefault="00601756" w:rsidP="00E1043D">
      <w:pPr>
        <w:pStyle w:val="Web"/>
        <w:spacing w:after="0" w:line="500" w:lineRule="exact"/>
      </w:pPr>
      <w:r>
        <w:rPr>
          <w:rFonts w:ascii="標楷體" w:eastAsia="標楷體" w:hAnsi="標楷體" w:hint="eastAsia"/>
          <w:b/>
          <w:bCs/>
          <w:sz w:val="40"/>
          <w:szCs w:val="40"/>
        </w:rPr>
        <w:t xml:space="preserve">  </w:t>
      </w:r>
      <w:bookmarkStart w:id="0" w:name="_GoBack"/>
      <w:r>
        <w:rPr>
          <w:rFonts w:ascii="標楷體" w:eastAsia="標楷體" w:hAnsi="標楷體" w:hint="eastAsia"/>
          <w:b/>
          <w:bCs/>
          <w:sz w:val="40"/>
          <w:szCs w:val="40"/>
        </w:rPr>
        <w:t>客家委員會推動客語為通行語成效評核及獎勵作業要點</w:t>
      </w:r>
    </w:p>
    <w:bookmarkEnd w:id="0"/>
    <w:p w:rsidR="00601756" w:rsidRDefault="00601756" w:rsidP="00E1043D">
      <w:pPr>
        <w:pStyle w:val="Web"/>
        <w:spacing w:after="0" w:line="500" w:lineRule="exact"/>
        <w:rPr>
          <w:rFonts w:hint="eastAsia"/>
        </w:rPr>
      </w:pPr>
      <w:r>
        <w:rPr>
          <w:rFonts w:ascii="標楷體" w:eastAsia="標楷體" w:hAnsi="標楷體" w:hint="eastAsia"/>
          <w:b/>
          <w:bCs/>
          <w:sz w:val="20"/>
          <w:szCs w:val="20"/>
        </w:rPr>
        <w:t xml:space="preserve">                                               </w:t>
      </w:r>
      <w:r>
        <w:rPr>
          <w:rFonts w:ascii="標楷體" w:eastAsia="標楷體" w:hAnsi="標楷體" w:hint="eastAsia"/>
          <w:b/>
          <w:bCs/>
          <w:sz w:val="20"/>
          <w:szCs w:val="20"/>
        </w:rPr>
        <w:t>中華民國108年11月5日客</w:t>
      </w:r>
      <w:proofErr w:type="gramStart"/>
      <w:r>
        <w:rPr>
          <w:rFonts w:ascii="標楷體" w:eastAsia="標楷體" w:hAnsi="標楷體" w:hint="eastAsia"/>
          <w:b/>
          <w:bCs/>
          <w:sz w:val="20"/>
          <w:szCs w:val="20"/>
        </w:rPr>
        <w:t>會綜字第10860015691</w:t>
      </w:r>
      <w:proofErr w:type="gramEnd"/>
      <w:r>
        <w:rPr>
          <w:rFonts w:ascii="標楷體" w:eastAsia="標楷體" w:hAnsi="標楷體" w:hint="eastAsia"/>
          <w:b/>
          <w:bCs/>
          <w:sz w:val="20"/>
          <w:szCs w:val="20"/>
        </w:rPr>
        <w:t>號令訂定</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一、 客家委員會（以下簡稱本會）</w:t>
      </w:r>
      <w:proofErr w:type="gramStart"/>
      <w:r>
        <w:rPr>
          <w:rFonts w:ascii="標楷體" w:eastAsia="標楷體" w:hAnsi="標楷體" w:hint="eastAsia"/>
          <w:sz w:val="32"/>
          <w:szCs w:val="32"/>
        </w:rPr>
        <w:t>為使客語</w:t>
      </w:r>
      <w:proofErr w:type="gramEnd"/>
      <w:r>
        <w:rPr>
          <w:rFonts w:ascii="標楷體" w:eastAsia="標楷體" w:hAnsi="標楷體" w:hint="eastAsia"/>
          <w:sz w:val="32"/>
          <w:szCs w:val="32"/>
        </w:rPr>
        <w:t>為通行語實施成效評核及獎勵有所依循，特訂定本要點。</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二、 本要點評核對象為客語為通行語地區之直轄市、縣（市）政府及鄉（鎮、市、區）公所（以下簡稱地方政府）。</w:t>
      </w:r>
    </w:p>
    <w:p w:rsidR="00601756" w:rsidRDefault="00601756" w:rsidP="00E1043D">
      <w:pPr>
        <w:pStyle w:val="Web"/>
        <w:spacing w:after="0" w:line="500" w:lineRule="exact"/>
        <w:ind w:left="709" w:hanging="709"/>
        <w:rPr>
          <w:rFonts w:hint="eastAsia"/>
        </w:rPr>
      </w:pPr>
      <w:proofErr w:type="gramStart"/>
      <w:r>
        <w:rPr>
          <w:rFonts w:ascii="標楷體" w:eastAsia="標楷體" w:hAnsi="標楷體" w:hint="eastAsia"/>
          <w:sz w:val="32"/>
          <w:szCs w:val="32"/>
        </w:rPr>
        <w:t>非屬客語</w:t>
      </w:r>
      <w:proofErr w:type="gramEnd"/>
      <w:r>
        <w:rPr>
          <w:rFonts w:ascii="標楷體" w:eastAsia="標楷體" w:hAnsi="標楷體" w:hint="eastAsia"/>
          <w:sz w:val="32"/>
          <w:szCs w:val="32"/>
        </w:rPr>
        <w:t>為通行語地區之地方政府得申請參與成效評核。</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三、 評核對象因業務性質而有窒礙難行者，得向本會申請評核之排除。</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四、 為有效</w:t>
      </w:r>
      <w:proofErr w:type="gramStart"/>
      <w:r>
        <w:rPr>
          <w:rFonts w:ascii="標楷體" w:eastAsia="標楷體" w:hAnsi="標楷體" w:hint="eastAsia"/>
          <w:sz w:val="32"/>
          <w:szCs w:val="32"/>
        </w:rPr>
        <w:t>推展客語</w:t>
      </w:r>
      <w:proofErr w:type="gramEnd"/>
      <w:r>
        <w:rPr>
          <w:rFonts w:ascii="標楷體" w:eastAsia="標楷體" w:hAnsi="標楷體" w:hint="eastAsia"/>
          <w:sz w:val="32"/>
          <w:szCs w:val="32"/>
        </w:rPr>
        <w:t>為通行語相關措施，評核對象為行政機關者應指定單一業務聯絡窗口，並得成立客語推行委員會任務編組協助推動辦理，其組成及任務參考附件。</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五、 接受評核對象應於每年一月三十一日前向本會提送前一年度執行成效報告，包含客語為通行語實施辦法所列之法定推動項目執行情形；其</w:t>
      </w:r>
      <w:proofErr w:type="gramStart"/>
      <w:r>
        <w:rPr>
          <w:rFonts w:ascii="標楷體" w:eastAsia="標楷體" w:hAnsi="標楷體" w:hint="eastAsia"/>
          <w:sz w:val="32"/>
          <w:szCs w:val="32"/>
        </w:rPr>
        <w:t>重點推辦方向</w:t>
      </w:r>
      <w:proofErr w:type="gramEnd"/>
      <w:r>
        <w:rPr>
          <w:rFonts w:ascii="標楷體" w:eastAsia="標楷體" w:hAnsi="標楷體" w:hint="eastAsia"/>
          <w:sz w:val="32"/>
          <w:szCs w:val="32"/>
        </w:rPr>
        <w:t>如下：</w:t>
      </w:r>
    </w:p>
    <w:p w:rsidR="00601756" w:rsidRDefault="00601756" w:rsidP="00E1043D">
      <w:pPr>
        <w:pStyle w:val="Web"/>
        <w:spacing w:after="0" w:line="500" w:lineRule="exact"/>
        <w:ind w:left="1418" w:hanging="709"/>
        <w:rPr>
          <w:rFonts w:hint="eastAsia"/>
        </w:rPr>
      </w:pPr>
      <w:r>
        <w:rPr>
          <w:rFonts w:hint="eastAsia"/>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 客語能力認證通過比例之提升。</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二) 客語友善環境之推動與營造。</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各年度重點評核項目及指標由本會另行公告。</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六、 年度執行成效報告，</w:t>
      </w:r>
      <w:proofErr w:type="gramStart"/>
      <w:r>
        <w:rPr>
          <w:rFonts w:ascii="標楷體" w:eastAsia="標楷體" w:hAnsi="標楷體" w:hint="eastAsia"/>
          <w:sz w:val="32"/>
          <w:szCs w:val="32"/>
        </w:rPr>
        <w:t>採線上</w:t>
      </w:r>
      <w:proofErr w:type="gramEnd"/>
      <w:r>
        <w:rPr>
          <w:rFonts w:ascii="標楷體" w:eastAsia="標楷體" w:hAnsi="標楷體" w:hint="eastAsia"/>
          <w:sz w:val="32"/>
          <w:szCs w:val="32"/>
        </w:rPr>
        <w:t>填報方式辦理；其內容以量化數據為主體，包含：</w:t>
      </w:r>
    </w:p>
    <w:p w:rsidR="00601756" w:rsidRDefault="00601756" w:rsidP="00E1043D">
      <w:pPr>
        <w:pStyle w:val="Web"/>
        <w:spacing w:after="0" w:line="500" w:lineRule="exact"/>
        <w:ind w:left="1418" w:hanging="709"/>
        <w:rPr>
          <w:rFonts w:hint="eastAsia"/>
        </w:rPr>
      </w:pPr>
      <w:r>
        <w:rPr>
          <w:rFonts w:hint="eastAsia"/>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 法定推動項目執行成效數據及執行概況說明。</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二) 單位自評整體執行成效與法定推動項目抽檢情形。</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三) 公開徵求公民團體監督或參與推動之情形。</w:t>
      </w:r>
    </w:p>
    <w:p w:rsidR="00601756" w:rsidRDefault="00601756" w:rsidP="00E1043D">
      <w:pPr>
        <w:pStyle w:val="Web"/>
        <w:spacing w:after="0" w:line="500" w:lineRule="exact"/>
        <w:ind w:left="1418" w:hanging="709"/>
        <w:rPr>
          <w:rFonts w:hint="eastAsia"/>
        </w:rPr>
      </w:pPr>
      <w:r>
        <w:rPr>
          <w:rFonts w:hint="eastAsia"/>
        </w:rPr>
        <w:lastRenderedPageBreak/>
        <w:t>(</w:t>
      </w:r>
      <w:r>
        <w:rPr>
          <w:rFonts w:ascii="標楷體" w:eastAsia="標楷體" w:hAnsi="標楷體" w:hint="eastAsia"/>
          <w:sz w:val="32"/>
          <w:szCs w:val="32"/>
        </w:rPr>
        <w:t>四) 針對自評結果有無獎勵或表揚績優單位及人員。</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七、 本會得聘請學者專家組成評核小組，審查評核對象提送之年度執行成效報告，並由本會安排人員以</w:t>
      </w:r>
      <w:proofErr w:type="gramStart"/>
      <w:r>
        <w:rPr>
          <w:rFonts w:ascii="標楷體" w:eastAsia="標楷體" w:hAnsi="標楷體" w:hint="eastAsia"/>
          <w:sz w:val="32"/>
          <w:szCs w:val="32"/>
        </w:rPr>
        <w:t>不</w:t>
      </w:r>
      <w:proofErr w:type="gramEnd"/>
      <w:r>
        <w:rPr>
          <w:rFonts w:ascii="標楷體" w:eastAsia="標楷體" w:hAnsi="標楷體" w:hint="eastAsia"/>
          <w:sz w:val="32"/>
          <w:szCs w:val="32"/>
        </w:rPr>
        <w:t>預先通知之方式進行實地查訪。</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 xml:space="preserve">八、 </w:t>
      </w:r>
      <w:proofErr w:type="gramStart"/>
      <w:r>
        <w:rPr>
          <w:rFonts w:ascii="標楷體" w:eastAsia="標楷體" w:hAnsi="標楷體" w:hint="eastAsia"/>
          <w:sz w:val="32"/>
          <w:szCs w:val="32"/>
        </w:rPr>
        <w:t>由評核</w:t>
      </w:r>
      <w:proofErr w:type="gramEnd"/>
      <w:r>
        <w:rPr>
          <w:rFonts w:ascii="標楷體" w:eastAsia="標楷體" w:hAnsi="標楷體" w:hint="eastAsia"/>
          <w:sz w:val="32"/>
          <w:szCs w:val="32"/>
        </w:rPr>
        <w:t>小組依法定推動項目進行書面或實地評核，並於三月底前公告綜合評比結果。</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九、執行客語為通行語之單位經評核優良者，除相關承辦人員</w:t>
      </w:r>
      <w:proofErr w:type="gramStart"/>
      <w:r>
        <w:rPr>
          <w:rFonts w:ascii="標楷體" w:eastAsia="標楷體" w:hAnsi="標楷體" w:hint="eastAsia"/>
          <w:sz w:val="32"/>
          <w:szCs w:val="32"/>
        </w:rPr>
        <w:t>得予敘獎</w:t>
      </w:r>
      <w:proofErr w:type="gramEnd"/>
      <w:r>
        <w:rPr>
          <w:rFonts w:ascii="標楷體" w:eastAsia="標楷體" w:hAnsi="標楷體" w:hint="eastAsia"/>
          <w:sz w:val="32"/>
          <w:szCs w:val="32"/>
        </w:rPr>
        <w:t>外，</w:t>
      </w:r>
      <w:proofErr w:type="gramStart"/>
      <w:r>
        <w:rPr>
          <w:rFonts w:ascii="標楷體" w:eastAsia="標楷體" w:hAnsi="標楷體" w:hint="eastAsia"/>
          <w:sz w:val="32"/>
          <w:szCs w:val="32"/>
        </w:rPr>
        <w:t>並依評核</w:t>
      </w:r>
      <w:proofErr w:type="gramEnd"/>
      <w:r>
        <w:rPr>
          <w:rFonts w:ascii="標楷體" w:eastAsia="標楷體" w:hAnsi="標楷體" w:hint="eastAsia"/>
          <w:sz w:val="32"/>
          <w:szCs w:val="32"/>
        </w:rPr>
        <w:t>結果分組選出特優、優等及佳等受獎單位若干名，公開表揚獲獎單位，本會得視各該年度預算發給地方政府執行成效獎勵金如下：</w:t>
      </w:r>
    </w:p>
    <w:p w:rsidR="00601756" w:rsidRDefault="00601756" w:rsidP="00E1043D">
      <w:pPr>
        <w:pStyle w:val="Web"/>
        <w:spacing w:after="0" w:line="500" w:lineRule="exact"/>
        <w:ind w:left="1418" w:hanging="709"/>
        <w:rPr>
          <w:rFonts w:hint="eastAsia"/>
        </w:rPr>
      </w:pPr>
      <w:r>
        <w:rPr>
          <w:rFonts w:hint="eastAsia"/>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 特優：直轄市及縣（市）政府至多給予獎勵金新臺幣一千萬元；鄉（鎮、市、區）公所至多給予獎勵金新臺幣六百萬元。</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二) 優等：直轄市及縣（市）政府至多給予獎勵金新臺幣五百萬元；鄉（鎮、市、區）公所至多給予獎勵金新臺幣</w:t>
      </w:r>
      <w:proofErr w:type="gramStart"/>
      <w:r>
        <w:rPr>
          <w:rFonts w:ascii="標楷體" w:eastAsia="標楷體" w:hAnsi="標楷體" w:hint="eastAsia"/>
          <w:sz w:val="32"/>
          <w:szCs w:val="32"/>
        </w:rPr>
        <w:t>三</w:t>
      </w:r>
      <w:proofErr w:type="gramEnd"/>
      <w:r>
        <w:rPr>
          <w:rFonts w:ascii="標楷體" w:eastAsia="標楷體" w:hAnsi="標楷體" w:hint="eastAsia"/>
          <w:sz w:val="32"/>
          <w:szCs w:val="32"/>
        </w:rPr>
        <w:t>百萬元。</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三) 佳等：直轄市及縣（市）政府至多給予獎勵金新臺幣</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百萬元；鄉（鎮、市、區）公所至多給予獎勵金新臺幣五十萬元。</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十、 獎勵金撥付方式如下：</w:t>
      </w:r>
    </w:p>
    <w:p w:rsidR="00601756" w:rsidRDefault="00601756" w:rsidP="00E1043D">
      <w:pPr>
        <w:pStyle w:val="Web"/>
        <w:spacing w:after="0" w:line="500" w:lineRule="exact"/>
        <w:ind w:left="1418" w:hanging="709"/>
        <w:rPr>
          <w:rFonts w:hint="eastAsia"/>
        </w:rPr>
      </w:pPr>
      <w:r>
        <w:rPr>
          <w:rFonts w:hint="eastAsia"/>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 獲獎單位為直轄市或縣（市）政府者，由本會直接撥付。</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二) 獲獎單位為鄉（鎮、市、區）公所者，由本會撥付直轄市或縣（市）政府轉撥；縣政府應於一個月內完成轉撥，如未依期限辦理，經本會協調後仍未完成轉撥者，本會得</w:t>
      </w:r>
      <w:proofErr w:type="gramStart"/>
      <w:r>
        <w:rPr>
          <w:rFonts w:ascii="標楷體" w:eastAsia="標楷體" w:hAnsi="標楷體" w:hint="eastAsia"/>
          <w:sz w:val="32"/>
          <w:szCs w:val="32"/>
        </w:rPr>
        <w:t>逕</w:t>
      </w:r>
      <w:proofErr w:type="gramEnd"/>
      <w:r>
        <w:rPr>
          <w:rFonts w:ascii="標楷體" w:eastAsia="標楷體" w:hAnsi="標楷體" w:hint="eastAsia"/>
          <w:sz w:val="32"/>
          <w:szCs w:val="32"/>
        </w:rPr>
        <w:t>撥付鄉（鎮、市）公所。</w:t>
      </w:r>
    </w:p>
    <w:p w:rsidR="00601756" w:rsidRDefault="00601756" w:rsidP="00E1043D">
      <w:pPr>
        <w:pStyle w:val="Web"/>
        <w:spacing w:after="0" w:line="500" w:lineRule="exact"/>
        <w:ind w:left="1418" w:hanging="709"/>
        <w:rPr>
          <w:rFonts w:hint="eastAsia"/>
        </w:rPr>
      </w:pPr>
      <w:r>
        <w:rPr>
          <w:rFonts w:hint="eastAsia"/>
        </w:rPr>
        <w:t>(</w:t>
      </w:r>
      <w:r>
        <w:rPr>
          <w:rFonts w:ascii="標楷體" w:eastAsia="標楷體" w:hAnsi="標楷體" w:hint="eastAsia"/>
          <w:sz w:val="32"/>
          <w:szCs w:val="32"/>
        </w:rPr>
        <w:t>三) 前款原已撥付縣政府之款項應予以追繳；未配合辦理</w:t>
      </w:r>
      <w:proofErr w:type="gramStart"/>
      <w:r>
        <w:rPr>
          <w:rFonts w:ascii="標楷體" w:eastAsia="標楷體" w:hAnsi="標楷體" w:hint="eastAsia"/>
          <w:sz w:val="32"/>
          <w:szCs w:val="32"/>
        </w:rPr>
        <w:t>繳回者</w:t>
      </w:r>
      <w:proofErr w:type="gramEnd"/>
      <w:r>
        <w:rPr>
          <w:rFonts w:ascii="標楷體" w:eastAsia="標楷體" w:hAnsi="標楷體" w:hint="eastAsia"/>
          <w:sz w:val="32"/>
          <w:szCs w:val="32"/>
        </w:rPr>
        <w:t>，由其當年度或以後年度之補助款予以扣減抵</w:t>
      </w:r>
      <w:proofErr w:type="gramStart"/>
      <w:r>
        <w:rPr>
          <w:rFonts w:ascii="標楷體" w:eastAsia="標楷體" w:hAnsi="標楷體" w:hint="eastAsia"/>
          <w:sz w:val="32"/>
          <w:szCs w:val="32"/>
        </w:rPr>
        <w:t>充</w:t>
      </w:r>
      <w:proofErr w:type="gramEnd"/>
      <w:r>
        <w:rPr>
          <w:rFonts w:ascii="標楷體" w:eastAsia="標楷體" w:hAnsi="標楷體" w:hint="eastAsia"/>
          <w:sz w:val="32"/>
          <w:szCs w:val="32"/>
        </w:rPr>
        <w:t>。</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十一、獎勵金應納入直轄市、縣（市）政府或鄉（鎮、市）公所之預（決）算，其主要用途應有助客家地方發展。</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十二、獲獎勵金之地方政府應有獎勵金支用之</w:t>
      </w:r>
      <w:proofErr w:type="gramStart"/>
      <w:r>
        <w:rPr>
          <w:rFonts w:ascii="標楷體" w:eastAsia="標楷體" w:hAnsi="標楷體" w:hint="eastAsia"/>
          <w:sz w:val="32"/>
          <w:szCs w:val="32"/>
        </w:rPr>
        <w:t>內部控</w:t>
      </w:r>
      <w:proofErr w:type="gramEnd"/>
      <w:r>
        <w:rPr>
          <w:rFonts w:ascii="標楷體" w:eastAsia="標楷體" w:hAnsi="標楷體" w:hint="eastAsia"/>
          <w:sz w:val="32"/>
          <w:szCs w:val="32"/>
        </w:rPr>
        <w:t>管機制，並於獲獎次年一月三十一日前將獎勵金支用情形提報本會備查。</w:t>
      </w:r>
    </w:p>
    <w:p w:rsidR="00601756" w:rsidRDefault="00601756" w:rsidP="00E1043D">
      <w:pPr>
        <w:pStyle w:val="Web"/>
        <w:spacing w:after="0" w:line="500" w:lineRule="exact"/>
        <w:ind w:left="709" w:hanging="709"/>
        <w:rPr>
          <w:rFonts w:hint="eastAsia"/>
        </w:rPr>
      </w:pPr>
      <w:r>
        <w:rPr>
          <w:rFonts w:ascii="標楷體" w:eastAsia="標楷體" w:hAnsi="標楷體" w:hint="eastAsia"/>
          <w:sz w:val="32"/>
          <w:szCs w:val="32"/>
        </w:rPr>
        <w:t>十三、地方政府未依第五點規定提送報告，或評核成效不佳者，至執行情形改善前，其申請本會相關獎補助計畫得不予受理。但提送改善計畫且經本會審核通過者至次年度綜合評比結果公告前，得專案受理之。</w:t>
      </w:r>
    </w:p>
    <w:p w:rsidR="00601756" w:rsidRDefault="00601756" w:rsidP="00E1043D">
      <w:pPr>
        <w:pStyle w:val="Web"/>
        <w:spacing w:after="0" w:line="500" w:lineRule="exact"/>
        <w:ind w:left="709" w:hanging="709"/>
        <w:rPr>
          <w:rFonts w:ascii="標楷體" w:eastAsia="標楷體" w:hAnsi="標楷體"/>
          <w:sz w:val="32"/>
          <w:szCs w:val="32"/>
        </w:rPr>
      </w:pPr>
      <w:r>
        <w:rPr>
          <w:rFonts w:ascii="標楷體" w:eastAsia="標楷體" w:hAnsi="標楷體" w:hint="eastAsia"/>
          <w:sz w:val="32"/>
          <w:szCs w:val="32"/>
        </w:rPr>
        <w:t>十四、有關客語為通行語地區之中央政府所屬之三級機關（構）或公（民）營企業共同推動客語為通行語成效優良者，其評等、敘獎得比照第九點本文規定辦理，並公開表揚。</w:t>
      </w:r>
    </w:p>
    <w:p w:rsidR="00E1043D" w:rsidRDefault="00E1043D" w:rsidP="00E1043D">
      <w:pPr>
        <w:pStyle w:val="Web"/>
        <w:pageBreakBefore/>
        <w:spacing w:after="0" w:line="500" w:lineRule="exact"/>
        <w:rPr>
          <w:rFonts w:hint="eastAsia"/>
        </w:rPr>
      </w:pPr>
      <w:r>
        <w:rPr>
          <w:rFonts w:ascii="標楷體" w:eastAsia="標楷體" w:hAnsi="標楷體" w:hint="eastAsia"/>
          <w:sz w:val="32"/>
          <w:szCs w:val="32"/>
        </w:rPr>
        <w:t>附件：客語推行委員會設置說明</w:t>
      </w:r>
    </w:p>
    <w:p w:rsidR="00E1043D" w:rsidRDefault="00E1043D" w:rsidP="00E1043D">
      <w:pPr>
        <w:pStyle w:val="Web"/>
        <w:spacing w:after="0" w:line="500" w:lineRule="exact"/>
        <w:ind w:left="709" w:hanging="709"/>
        <w:rPr>
          <w:rFonts w:hint="eastAsia"/>
        </w:rPr>
      </w:pPr>
      <w:r>
        <w:rPr>
          <w:rFonts w:ascii="標楷體" w:eastAsia="標楷體" w:hAnsi="標楷體" w:hint="eastAsia"/>
          <w:sz w:val="32"/>
          <w:szCs w:val="32"/>
        </w:rPr>
        <w:t>（一）設置目的及組成成員</w:t>
      </w:r>
    </w:p>
    <w:p w:rsidR="00E1043D" w:rsidRDefault="00E1043D" w:rsidP="00E1043D">
      <w:pPr>
        <w:pStyle w:val="Web"/>
        <w:spacing w:after="0" w:line="500" w:lineRule="exact"/>
        <w:ind w:left="1418" w:hanging="709"/>
        <w:rPr>
          <w:rFonts w:hint="eastAsia"/>
        </w:rPr>
      </w:pPr>
      <w:r>
        <w:rPr>
          <w:rFonts w:ascii="標楷體" w:eastAsia="標楷體" w:hAnsi="標楷體" w:hint="eastAsia"/>
          <w:sz w:val="32"/>
          <w:szCs w:val="32"/>
        </w:rPr>
        <w:t>１、 為推動客語為通行語，宜由單位主管首長成立客語推行委員會，或跨單位、局處、科室之整合協調，組成客語推行委員會。</w:t>
      </w:r>
    </w:p>
    <w:p w:rsidR="00E1043D" w:rsidRDefault="00E1043D" w:rsidP="00E1043D">
      <w:pPr>
        <w:pStyle w:val="Web"/>
        <w:spacing w:after="0" w:line="500" w:lineRule="exact"/>
        <w:ind w:left="1418" w:hanging="709"/>
        <w:rPr>
          <w:rFonts w:hint="eastAsia"/>
        </w:rPr>
      </w:pPr>
      <w:r>
        <w:rPr>
          <w:rFonts w:ascii="標楷體" w:eastAsia="標楷體" w:hAnsi="標楷體" w:hint="eastAsia"/>
          <w:sz w:val="32"/>
          <w:szCs w:val="32"/>
        </w:rPr>
        <w:t>２、 本組織為任務編組，以發展客語成為通行語為目標，其成員組成宜邀集相關機關、學校、社團、語言專家、社區工作者、企業商家等代表組成；任</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性別委員人數不得少於委員總人數之三分之一，並宜兼顧青年代表。</w:t>
      </w:r>
    </w:p>
    <w:p w:rsidR="00E1043D" w:rsidRDefault="00E1043D" w:rsidP="00E1043D">
      <w:pPr>
        <w:pStyle w:val="Web"/>
        <w:spacing w:after="0" w:line="500" w:lineRule="exact"/>
        <w:ind w:left="709" w:hanging="709"/>
        <w:rPr>
          <w:rFonts w:hint="eastAsia"/>
        </w:rPr>
      </w:pPr>
      <w:r>
        <w:rPr>
          <w:rFonts w:ascii="標楷體" w:eastAsia="標楷體" w:hAnsi="標楷體" w:hint="eastAsia"/>
          <w:sz w:val="32"/>
          <w:szCs w:val="32"/>
        </w:rPr>
        <w:t>（二）核心任務</w:t>
      </w:r>
    </w:p>
    <w:p w:rsidR="00E1043D" w:rsidRDefault="00E1043D" w:rsidP="00E1043D">
      <w:pPr>
        <w:pStyle w:val="Web"/>
        <w:spacing w:after="0" w:line="500" w:lineRule="exact"/>
        <w:ind w:left="1418" w:hanging="709"/>
        <w:rPr>
          <w:rFonts w:hint="eastAsia"/>
        </w:rPr>
      </w:pPr>
      <w:r>
        <w:rPr>
          <w:rFonts w:ascii="標楷體" w:eastAsia="標楷體" w:hAnsi="標楷體" w:hint="eastAsia"/>
          <w:sz w:val="32"/>
          <w:szCs w:val="32"/>
        </w:rPr>
        <w:t>１、 協助機關推動客語重返公共領域，落實客語生活化，促進公私場域以客語為使用語言。</w:t>
      </w:r>
    </w:p>
    <w:p w:rsidR="00E1043D" w:rsidRDefault="00E1043D" w:rsidP="00E1043D">
      <w:pPr>
        <w:pStyle w:val="Web"/>
        <w:spacing w:after="0" w:line="500" w:lineRule="exact"/>
        <w:ind w:left="1418" w:hanging="709"/>
        <w:rPr>
          <w:rFonts w:hint="eastAsia"/>
        </w:rPr>
      </w:pPr>
      <w:r>
        <w:rPr>
          <w:rFonts w:ascii="標楷體" w:eastAsia="標楷體" w:hAnsi="標楷體" w:hint="eastAsia"/>
          <w:sz w:val="32"/>
          <w:szCs w:val="32"/>
        </w:rPr>
        <w:t>２、 提升轄內客籍</w:t>
      </w:r>
      <w:proofErr w:type="gramStart"/>
      <w:r>
        <w:rPr>
          <w:rFonts w:ascii="標楷體" w:eastAsia="標楷體" w:hAnsi="標楷體" w:hint="eastAsia"/>
          <w:sz w:val="32"/>
          <w:szCs w:val="32"/>
        </w:rPr>
        <w:t>民眾對客語文</w:t>
      </w:r>
      <w:proofErr w:type="gramEnd"/>
      <w:r>
        <w:rPr>
          <w:rFonts w:ascii="標楷體" w:eastAsia="標楷體" w:hAnsi="標楷體" w:hint="eastAsia"/>
          <w:sz w:val="32"/>
          <w:szCs w:val="32"/>
        </w:rPr>
        <w:t>化之尊嚴和自信，使非客籍民眾增進對客家語言文化之了解和尊重。</w:t>
      </w:r>
    </w:p>
    <w:p w:rsidR="00E1043D" w:rsidRDefault="00E1043D" w:rsidP="00E1043D">
      <w:pPr>
        <w:pStyle w:val="Web"/>
        <w:spacing w:after="0" w:line="500" w:lineRule="exact"/>
        <w:ind w:left="1418" w:hanging="709"/>
        <w:rPr>
          <w:rFonts w:hint="eastAsia"/>
        </w:rPr>
      </w:pPr>
      <w:r>
        <w:rPr>
          <w:rFonts w:ascii="標楷體" w:eastAsia="標楷體" w:hAnsi="標楷體" w:hint="eastAsia"/>
          <w:sz w:val="32"/>
          <w:szCs w:val="32"/>
        </w:rPr>
        <w:t>３、 提供客語為通行語政策及其發展策略及其他相關議題之諮詢。</w:t>
      </w:r>
    </w:p>
    <w:p w:rsidR="00E1043D" w:rsidRPr="00E1043D" w:rsidRDefault="00E1043D" w:rsidP="00E1043D">
      <w:pPr>
        <w:pStyle w:val="Web"/>
        <w:spacing w:after="0" w:line="500" w:lineRule="exact"/>
        <w:rPr>
          <w:rFonts w:hint="eastAsia"/>
        </w:rPr>
      </w:pPr>
    </w:p>
    <w:p w:rsidR="00E1043D" w:rsidRPr="00E1043D" w:rsidRDefault="00E1043D" w:rsidP="00E1043D">
      <w:pPr>
        <w:pStyle w:val="Web"/>
        <w:spacing w:after="0" w:line="500" w:lineRule="exact"/>
        <w:ind w:left="709" w:hanging="709"/>
        <w:rPr>
          <w:rFonts w:ascii="標楷體" w:eastAsia="標楷體" w:hAnsi="標楷體" w:hint="eastAsia"/>
          <w:sz w:val="32"/>
          <w:szCs w:val="32"/>
        </w:rPr>
      </w:pPr>
    </w:p>
    <w:sectPr w:rsidR="00E1043D" w:rsidRPr="00E1043D" w:rsidSect="006017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56"/>
    <w:rsid w:val="00181597"/>
    <w:rsid w:val="00474779"/>
    <w:rsid w:val="004A3CB9"/>
    <w:rsid w:val="00601756"/>
    <w:rsid w:val="00E10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DD253-2503-4421-A1DE-83E5AA9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756"/>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2020-08-11T01:23:00Z</dcterms:created>
  <dcterms:modified xsi:type="dcterms:W3CDTF">2020-08-11T01:47:00Z</dcterms:modified>
</cp:coreProperties>
</file>